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1A" w:rsidRDefault="00BB571A">
      <w:pPr>
        <w:rPr>
          <w:lang w:val="en-GB"/>
        </w:rPr>
      </w:pPr>
      <w:r>
        <w:rPr>
          <w:lang w:val="en-GB"/>
        </w:rPr>
        <w:t>EUROCARE 5</w:t>
      </w:r>
    </w:p>
    <w:p w:rsidR="0051160D" w:rsidRDefault="000510AA">
      <w:pPr>
        <w:rPr>
          <w:lang w:val="en-GB"/>
        </w:rPr>
      </w:pPr>
      <w:r w:rsidRPr="000510AA">
        <w:rPr>
          <w:lang w:val="en-GB"/>
        </w:rPr>
        <w:t>5-year age-standardised relative survival for adult patients with cancer, diagnosed 2000–07</w:t>
      </w:r>
      <w:r w:rsidR="0046605F">
        <w:rPr>
          <w:lang w:val="en-GB"/>
        </w:rPr>
        <w:t xml:space="preserve"> (de Angelis et al., The Lancet Oncology 2013)</w:t>
      </w:r>
    </w:p>
    <w:tbl>
      <w:tblPr>
        <w:tblStyle w:val="Svtlstnovn"/>
        <w:tblW w:w="13852" w:type="dxa"/>
        <w:tblLook w:val="06A0"/>
      </w:tblPr>
      <w:tblGrid>
        <w:gridCol w:w="1014"/>
        <w:gridCol w:w="1247"/>
        <w:gridCol w:w="1247"/>
        <w:gridCol w:w="1247"/>
        <w:gridCol w:w="1247"/>
        <w:gridCol w:w="1247"/>
        <w:gridCol w:w="1422"/>
        <w:gridCol w:w="1247"/>
        <w:gridCol w:w="1247"/>
        <w:gridCol w:w="1247"/>
        <w:gridCol w:w="1440"/>
      </w:tblGrid>
      <w:tr w:rsidR="000510AA" w:rsidRPr="00B00AA0" w:rsidTr="008F3F4A">
        <w:trPr>
          <w:cnfStyle w:val="100000000000"/>
          <w:trHeight w:val="680"/>
        </w:trPr>
        <w:tc>
          <w:tcPr>
            <w:cnfStyle w:val="001000000000"/>
            <w:tcW w:w="1014" w:type="dxa"/>
            <w:hideMark/>
          </w:tcPr>
          <w:p w:rsidR="000510AA" w:rsidRPr="00ED6CAF" w:rsidRDefault="000510AA" w:rsidP="000F19ED">
            <w:pPr>
              <w:spacing w:after="200"/>
              <w:rPr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Stomach cancer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Colon</w:t>
            </w:r>
            <w:r w:rsidRPr="00ED6CAF">
              <w:rPr>
                <w:sz w:val="20"/>
                <w:szCs w:val="20"/>
                <w:lang w:val="en-GB"/>
              </w:rPr>
              <w:br/>
              <w:t>cancer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Rectal cancer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Lung</w:t>
            </w:r>
            <w:r w:rsidRPr="00ED6CAF">
              <w:rPr>
                <w:sz w:val="20"/>
                <w:szCs w:val="20"/>
                <w:lang w:val="en-GB"/>
              </w:rPr>
              <w:br/>
              <w:t>cancer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Skin melanoma</w:t>
            </w:r>
          </w:p>
        </w:tc>
        <w:tc>
          <w:tcPr>
            <w:tcW w:w="1422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Breast cancer (women only)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Ovarian cancer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Prostate cancer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Kidney cancer</w:t>
            </w:r>
          </w:p>
        </w:tc>
        <w:tc>
          <w:tcPr>
            <w:tcW w:w="1440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Non-Hodgkin lymphoma</w:t>
            </w:r>
          </w:p>
        </w:tc>
      </w:tr>
      <w:tr w:rsidR="000510AA" w:rsidRPr="00B00AA0" w:rsidTr="008F3F4A">
        <w:trPr>
          <w:trHeight w:val="680"/>
        </w:trPr>
        <w:tc>
          <w:tcPr>
            <w:cnfStyle w:val="001000000000"/>
            <w:tcW w:w="1014" w:type="dxa"/>
            <w:vAlign w:val="center"/>
            <w:hideMark/>
          </w:tcPr>
          <w:p w:rsidR="000510AA" w:rsidRPr="00ED6CAF" w:rsidRDefault="000510AA" w:rsidP="008F3F4A">
            <w:pPr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Northern Europe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21,9</w:t>
            </w:r>
            <w:r w:rsidRPr="00ED6CAF">
              <w:rPr>
                <w:sz w:val="20"/>
                <w:szCs w:val="20"/>
                <w:lang w:val="en-GB"/>
              </w:rPr>
              <w:br/>
              <w:t>(21,2–22,6)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59,0</w:t>
            </w:r>
            <w:r w:rsidRPr="00ED6CAF">
              <w:rPr>
                <w:sz w:val="20"/>
                <w:szCs w:val="20"/>
                <w:lang w:val="en-GB"/>
              </w:rPr>
              <w:br/>
              <w:t>(58,5–59,4)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59,5</w:t>
            </w:r>
            <w:r w:rsidRPr="00ED6CAF">
              <w:rPr>
                <w:sz w:val="20"/>
                <w:szCs w:val="20"/>
                <w:lang w:val="en-GB"/>
              </w:rPr>
              <w:br/>
              <w:t>(58,9–60,2)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12,2</w:t>
            </w:r>
            <w:r w:rsidRPr="00ED6CAF">
              <w:rPr>
                <w:sz w:val="20"/>
                <w:szCs w:val="20"/>
                <w:lang w:val="en-GB"/>
              </w:rPr>
              <w:br/>
              <w:t>(11,9–12,5)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87,7</w:t>
            </w:r>
            <w:r w:rsidRPr="00ED6CAF">
              <w:rPr>
                <w:sz w:val="20"/>
                <w:szCs w:val="20"/>
                <w:lang w:val="en-GB"/>
              </w:rPr>
              <w:br/>
              <w:t>(87,2–88,2)</w:t>
            </w:r>
          </w:p>
        </w:tc>
        <w:tc>
          <w:tcPr>
            <w:tcW w:w="1422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84,7</w:t>
            </w:r>
            <w:r w:rsidRPr="00ED6CAF">
              <w:rPr>
                <w:sz w:val="20"/>
                <w:szCs w:val="20"/>
                <w:lang w:val="en-GB"/>
              </w:rPr>
              <w:br/>
              <w:t>(84,4–85,1)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41,1</w:t>
            </w:r>
            <w:r w:rsidRPr="00ED6CAF">
              <w:rPr>
                <w:sz w:val="20"/>
                <w:szCs w:val="20"/>
                <w:lang w:val="en-GB"/>
              </w:rPr>
              <w:br/>
              <w:t>(40,3–42,0)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85,0</w:t>
            </w:r>
            <w:r w:rsidRPr="00ED6CAF">
              <w:rPr>
                <w:sz w:val="20"/>
                <w:szCs w:val="20"/>
                <w:lang w:val="en-GB"/>
              </w:rPr>
              <w:br/>
              <w:t>(84,6–85,3)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55,8</w:t>
            </w:r>
            <w:r w:rsidRPr="00ED6CAF">
              <w:rPr>
                <w:sz w:val="20"/>
                <w:szCs w:val="20"/>
                <w:lang w:val="en-GB"/>
              </w:rPr>
              <w:br/>
              <w:t>(55,0–56,6)</w:t>
            </w:r>
          </w:p>
        </w:tc>
        <w:tc>
          <w:tcPr>
            <w:tcW w:w="1440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63,3</w:t>
            </w:r>
            <w:r w:rsidRPr="00ED6CAF">
              <w:rPr>
                <w:sz w:val="20"/>
                <w:szCs w:val="20"/>
                <w:lang w:val="en-GB"/>
              </w:rPr>
              <w:br/>
              <w:t>(62,7–63,9)</w:t>
            </w:r>
          </w:p>
        </w:tc>
      </w:tr>
      <w:tr w:rsidR="000510AA" w:rsidRPr="00B00AA0" w:rsidTr="008F3F4A">
        <w:trPr>
          <w:trHeight w:val="680"/>
        </w:trPr>
        <w:tc>
          <w:tcPr>
            <w:cnfStyle w:val="001000000000"/>
            <w:tcW w:w="1014" w:type="dxa"/>
            <w:vAlign w:val="center"/>
            <w:hideMark/>
          </w:tcPr>
          <w:p w:rsidR="000510AA" w:rsidRPr="00ED6CAF" w:rsidRDefault="000510AA" w:rsidP="008F3F4A">
            <w:pPr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UK and Ireland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17,2</w:t>
            </w:r>
            <w:r w:rsidRPr="00ED6CAF">
              <w:rPr>
                <w:sz w:val="20"/>
                <w:szCs w:val="20"/>
                <w:lang w:val="en-GB"/>
              </w:rPr>
              <w:br/>
              <w:t>(16,8–17,5)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51,8</w:t>
            </w:r>
            <w:r w:rsidRPr="00ED6CAF">
              <w:rPr>
                <w:sz w:val="20"/>
                <w:szCs w:val="20"/>
                <w:lang w:val="en-GB"/>
              </w:rPr>
              <w:br/>
              <w:t>(51,5–52,1)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53,7</w:t>
            </w:r>
            <w:r w:rsidRPr="00ED6CAF">
              <w:rPr>
                <w:sz w:val="20"/>
                <w:szCs w:val="20"/>
                <w:lang w:val="en-GB"/>
              </w:rPr>
              <w:br/>
              <w:t>(53,3–54,1)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9,0</w:t>
            </w:r>
            <w:r w:rsidRPr="00ED6CAF">
              <w:rPr>
                <w:sz w:val="20"/>
                <w:szCs w:val="20"/>
                <w:lang w:val="en-GB"/>
              </w:rPr>
              <w:br/>
              <w:t>(8,8–9,1)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85,6</w:t>
            </w:r>
            <w:r w:rsidRPr="00ED6CAF">
              <w:rPr>
                <w:sz w:val="20"/>
                <w:szCs w:val="20"/>
                <w:lang w:val="en-GB"/>
              </w:rPr>
              <w:br/>
              <w:t>(85,2–86,0)</w:t>
            </w:r>
          </w:p>
        </w:tc>
        <w:tc>
          <w:tcPr>
            <w:tcW w:w="1422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79,2</w:t>
            </w:r>
            <w:r w:rsidRPr="00ED6CAF">
              <w:rPr>
                <w:sz w:val="20"/>
                <w:szCs w:val="20"/>
                <w:lang w:val="en-GB"/>
              </w:rPr>
              <w:br/>
              <w:t>(79,0–79,4)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31,0</w:t>
            </w:r>
            <w:r w:rsidRPr="00ED6CAF">
              <w:rPr>
                <w:sz w:val="20"/>
                <w:szCs w:val="20"/>
                <w:lang w:val="en-GB"/>
              </w:rPr>
              <w:br/>
              <w:t>(30,6–31,5)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80,6</w:t>
            </w:r>
            <w:r w:rsidRPr="00ED6CAF">
              <w:rPr>
                <w:sz w:val="20"/>
                <w:szCs w:val="20"/>
                <w:lang w:val="en-GB"/>
              </w:rPr>
              <w:br/>
              <w:t>(80,3–80,9)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47,6</w:t>
            </w:r>
            <w:r w:rsidRPr="00ED6CAF">
              <w:rPr>
                <w:sz w:val="20"/>
                <w:szCs w:val="20"/>
                <w:lang w:val="en-GB"/>
              </w:rPr>
              <w:br/>
              <w:t>(47,1–48,1)</w:t>
            </w:r>
          </w:p>
        </w:tc>
        <w:tc>
          <w:tcPr>
            <w:tcW w:w="1440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57,4</w:t>
            </w:r>
            <w:r w:rsidRPr="00ED6CAF">
              <w:rPr>
                <w:sz w:val="20"/>
                <w:szCs w:val="20"/>
                <w:lang w:val="en-GB"/>
              </w:rPr>
              <w:br/>
              <w:t>(57,0–57,8)</w:t>
            </w:r>
          </w:p>
        </w:tc>
      </w:tr>
      <w:tr w:rsidR="000510AA" w:rsidRPr="00B00AA0" w:rsidTr="008F3F4A">
        <w:trPr>
          <w:trHeight w:val="680"/>
        </w:trPr>
        <w:tc>
          <w:tcPr>
            <w:cnfStyle w:val="001000000000"/>
            <w:tcW w:w="1014" w:type="dxa"/>
            <w:vAlign w:val="center"/>
            <w:hideMark/>
          </w:tcPr>
          <w:p w:rsidR="000510AA" w:rsidRPr="00ED6CAF" w:rsidRDefault="000510AA" w:rsidP="008F3F4A">
            <w:pPr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Central Europe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28,1</w:t>
            </w:r>
            <w:r w:rsidRPr="00ED6CAF">
              <w:rPr>
                <w:sz w:val="20"/>
                <w:szCs w:val="20"/>
                <w:lang w:val="en-GB"/>
              </w:rPr>
              <w:br/>
              <w:t>(27,6–28,5)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60,5</w:t>
            </w:r>
            <w:r w:rsidRPr="00ED6CAF">
              <w:rPr>
                <w:sz w:val="20"/>
                <w:szCs w:val="20"/>
                <w:lang w:val="en-GB"/>
              </w:rPr>
              <w:br/>
              <w:t>(60,2–60,8)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60,1</w:t>
            </w:r>
            <w:r w:rsidRPr="00ED6CAF">
              <w:rPr>
                <w:sz w:val="20"/>
                <w:szCs w:val="20"/>
                <w:lang w:val="en-GB"/>
              </w:rPr>
              <w:br/>
              <w:t>(59,7–60,4)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14,8</w:t>
            </w:r>
            <w:r w:rsidRPr="00ED6CAF">
              <w:rPr>
                <w:sz w:val="20"/>
                <w:szCs w:val="20"/>
                <w:lang w:val="en-GB"/>
              </w:rPr>
              <w:br/>
              <w:t>(14,6–14,9)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87,6</w:t>
            </w:r>
            <w:r w:rsidRPr="00ED6CAF">
              <w:rPr>
                <w:sz w:val="20"/>
                <w:szCs w:val="20"/>
                <w:lang w:val="en-GB"/>
              </w:rPr>
              <w:br/>
              <w:t>(87,2–88,0)</w:t>
            </w:r>
          </w:p>
        </w:tc>
        <w:tc>
          <w:tcPr>
            <w:tcW w:w="1422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83,9</w:t>
            </w:r>
            <w:r w:rsidRPr="00ED6CAF">
              <w:rPr>
                <w:sz w:val="20"/>
                <w:szCs w:val="20"/>
                <w:lang w:val="en-GB"/>
              </w:rPr>
              <w:br/>
              <w:t>(83,6–84,1)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40,5</w:t>
            </w:r>
            <w:r w:rsidRPr="00ED6CAF">
              <w:rPr>
                <w:sz w:val="20"/>
                <w:szCs w:val="20"/>
                <w:lang w:val="en-GB"/>
              </w:rPr>
              <w:br/>
              <w:t>(39,9–41,1)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88,1</w:t>
            </w:r>
            <w:r w:rsidRPr="00ED6CAF">
              <w:rPr>
                <w:sz w:val="20"/>
                <w:szCs w:val="20"/>
                <w:lang w:val="en-GB"/>
              </w:rPr>
              <w:br/>
              <w:t>(87,9–88,4)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64,6</w:t>
            </w:r>
            <w:r w:rsidRPr="00ED6CAF">
              <w:rPr>
                <w:sz w:val="20"/>
                <w:szCs w:val="20"/>
                <w:lang w:val="en-GB"/>
              </w:rPr>
              <w:br/>
              <w:t>(64,1–65,1)</w:t>
            </w:r>
          </w:p>
        </w:tc>
        <w:tc>
          <w:tcPr>
            <w:tcW w:w="1440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62,5</w:t>
            </w:r>
            <w:r w:rsidRPr="00ED6CAF">
              <w:rPr>
                <w:sz w:val="20"/>
                <w:szCs w:val="20"/>
                <w:lang w:val="en-GB"/>
              </w:rPr>
              <w:br/>
              <w:t>(62,1–62,9)</w:t>
            </w:r>
          </w:p>
        </w:tc>
      </w:tr>
      <w:tr w:rsidR="000510AA" w:rsidRPr="00B00AA0" w:rsidTr="008F3F4A">
        <w:trPr>
          <w:trHeight w:val="680"/>
        </w:trPr>
        <w:tc>
          <w:tcPr>
            <w:cnfStyle w:val="001000000000"/>
            <w:tcW w:w="1014" w:type="dxa"/>
            <w:vAlign w:val="center"/>
            <w:hideMark/>
          </w:tcPr>
          <w:p w:rsidR="000510AA" w:rsidRPr="00ED6CAF" w:rsidRDefault="000510AA" w:rsidP="008F3F4A">
            <w:pPr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Southern Europe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29,6</w:t>
            </w:r>
            <w:r w:rsidRPr="00ED6CAF">
              <w:rPr>
                <w:sz w:val="20"/>
                <w:szCs w:val="20"/>
                <w:lang w:val="en-GB"/>
              </w:rPr>
              <w:br/>
              <w:t>(29,2–30,0)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58,5</w:t>
            </w:r>
            <w:r w:rsidRPr="00ED6CAF">
              <w:rPr>
                <w:sz w:val="20"/>
                <w:szCs w:val="20"/>
                <w:lang w:val="en-GB"/>
              </w:rPr>
              <w:br/>
              <w:t>(58,1–58,8)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55,4</w:t>
            </w:r>
            <w:r w:rsidRPr="00ED6CAF">
              <w:rPr>
                <w:sz w:val="20"/>
                <w:szCs w:val="20"/>
                <w:lang w:val="en-GB"/>
              </w:rPr>
              <w:br/>
              <w:t>(54,9–55,9)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13,2</w:t>
            </w:r>
            <w:r w:rsidRPr="00ED6CAF">
              <w:rPr>
                <w:sz w:val="20"/>
                <w:szCs w:val="20"/>
                <w:lang w:val="en-GB"/>
              </w:rPr>
              <w:br/>
              <w:t>(13,0–13,4)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82,6</w:t>
            </w:r>
            <w:r w:rsidRPr="00ED6CAF">
              <w:rPr>
                <w:sz w:val="20"/>
                <w:szCs w:val="20"/>
                <w:lang w:val="en-GB"/>
              </w:rPr>
              <w:br/>
              <w:t>(82,1–83,2)</w:t>
            </w:r>
          </w:p>
        </w:tc>
        <w:tc>
          <w:tcPr>
            <w:tcW w:w="1422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83,6</w:t>
            </w:r>
            <w:r w:rsidRPr="00ED6CAF">
              <w:rPr>
                <w:sz w:val="20"/>
                <w:szCs w:val="20"/>
                <w:lang w:val="en-GB"/>
              </w:rPr>
              <w:br/>
              <w:t>(83,3–83,9)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38,0</w:t>
            </w:r>
            <w:r w:rsidRPr="00ED6CAF">
              <w:rPr>
                <w:sz w:val="20"/>
                <w:szCs w:val="20"/>
                <w:lang w:val="en-GB"/>
              </w:rPr>
              <w:br/>
              <w:t>(37,3–38,7)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86,3</w:t>
            </w:r>
            <w:r w:rsidRPr="00ED6CAF">
              <w:rPr>
                <w:sz w:val="20"/>
                <w:szCs w:val="20"/>
                <w:lang w:val="en-GB"/>
              </w:rPr>
              <w:br/>
              <w:t>(86,0–86,7)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64,4</w:t>
            </w:r>
            <w:r w:rsidRPr="00ED6CAF">
              <w:rPr>
                <w:sz w:val="20"/>
                <w:szCs w:val="20"/>
                <w:lang w:val="en-GB"/>
              </w:rPr>
              <w:br/>
              <w:t>(63,8–65,0)</w:t>
            </w:r>
          </w:p>
        </w:tc>
        <w:tc>
          <w:tcPr>
            <w:tcW w:w="1440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58,7</w:t>
            </w:r>
            <w:r w:rsidRPr="00ED6CAF">
              <w:rPr>
                <w:sz w:val="20"/>
                <w:szCs w:val="20"/>
                <w:lang w:val="en-GB"/>
              </w:rPr>
              <w:br/>
              <w:t>(58,2–59,2)</w:t>
            </w:r>
          </w:p>
        </w:tc>
      </w:tr>
      <w:tr w:rsidR="000510AA" w:rsidRPr="00B00AA0" w:rsidTr="008F3F4A">
        <w:trPr>
          <w:trHeight w:val="680"/>
        </w:trPr>
        <w:tc>
          <w:tcPr>
            <w:cnfStyle w:val="001000000000"/>
            <w:tcW w:w="1014" w:type="dxa"/>
            <w:vAlign w:val="center"/>
            <w:hideMark/>
          </w:tcPr>
          <w:p w:rsidR="000510AA" w:rsidRPr="00ED6CAF" w:rsidRDefault="000510AA" w:rsidP="008F3F4A">
            <w:pPr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Eastern Europe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18,8</w:t>
            </w:r>
            <w:r w:rsidRPr="00ED6CAF">
              <w:rPr>
                <w:sz w:val="20"/>
                <w:szCs w:val="20"/>
                <w:lang w:val="en-GB"/>
              </w:rPr>
              <w:br/>
              <w:t>(18,4–19,2)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49,4</w:t>
            </w:r>
            <w:r w:rsidRPr="00ED6CAF">
              <w:rPr>
                <w:sz w:val="20"/>
                <w:szCs w:val="20"/>
                <w:lang w:val="en-GB"/>
              </w:rPr>
              <w:br/>
              <w:t>(48,9–49,8)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44,6</w:t>
            </w:r>
            <w:r w:rsidRPr="00ED6CAF">
              <w:rPr>
                <w:sz w:val="20"/>
                <w:szCs w:val="20"/>
                <w:lang w:val="en-GB"/>
              </w:rPr>
              <w:br/>
              <w:t>(44,1–45,1)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10,6</w:t>
            </w:r>
            <w:r w:rsidRPr="00ED6CAF">
              <w:rPr>
                <w:sz w:val="20"/>
                <w:szCs w:val="20"/>
                <w:lang w:val="en-GB"/>
              </w:rPr>
              <w:br/>
              <w:t>(10,4–10,9)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74,3</w:t>
            </w:r>
            <w:r w:rsidRPr="00ED6CAF">
              <w:rPr>
                <w:sz w:val="20"/>
                <w:szCs w:val="20"/>
                <w:lang w:val="en-GB"/>
              </w:rPr>
              <w:br/>
              <w:t>(73,6–75,1)</w:t>
            </w:r>
          </w:p>
        </w:tc>
        <w:tc>
          <w:tcPr>
            <w:tcW w:w="1422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73,7</w:t>
            </w:r>
            <w:r w:rsidRPr="00ED6CAF">
              <w:rPr>
                <w:sz w:val="20"/>
                <w:szCs w:val="20"/>
                <w:lang w:val="en-GB"/>
              </w:rPr>
              <w:br/>
              <w:t>(73,2–74,1)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34,4</w:t>
            </w:r>
            <w:r w:rsidRPr="00ED6CAF">
              <w:rPr>
                <w:sz w:val="20"/>
                <w:szCs w:val="20"/>
                <w:lang w:val="en-GB"/>
              </w:rPr>
              <w:br/>
              <w:t>(33,7–35,1)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72,0</w:t>
            </w:r>
            <w:r w:rsidRPr="00ED6CAF">
              <w:rPr>
                <w:sz w:val="20"/>
                <w:szCs w:val="20"/>
                <w:lang w:val="en-GB"/>
              </w:rPr>
              <w:br/>
              <w:t>(71,3–72,6)</w:t>
            </w:r>
          </w:p>
        </w:tc>
        <w:tc>
          <w:tcPr>
            <w:tcW w:w="1247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57,5</w:t>
            </w:r>
            <w:r w:rsidRPr="00ED6CAF">
              <w:rPr>
                <w:sz w:val="20"/>
                <w:szCs w:val="20"/>
                <w:lang w:val="en-GB"/>
              </w:rPr>
              <w:br/>
              <w:t>(56,8–58,2)</w:t>
            </w:r>
          </w:p>
        </w:tc>
        <w:tc>
          <w:tcPr>
            <w:tcW w:w="1440" w:type="dxa"/>
            <w:vAlign w:val="center"/>
            <w:hideMark/>
          </w:tcPr>
          <w:p w:rsidR="000510AA" w:rsidRPr="00ED6CAF" w:rsidRDefault="000510AA" w:rsidP="008F3F4A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49,7</w:t>
            </w:r>
            <w:r w:rsidRPr="00ED6CAF">
              <w:rPr>
                <w:sz w:val="20"/>
                <w:szCs w:val="20"/>
                <w:lang w:val="en-GB"/>
              </w:rPr>
              <w:br/>
              <w:t>(48,9–50,5)</w:t>
            </w:r>
          </w:p>
        </w:tc>
      </w:tr>
      <w:tr w:rsidR="00BB571A" w:rsidRPr="00B00AA0" w:rsidTr="008F3F4A">
        <w:trPr>
          <w:trHeight w:val="680"/>
        </w:trPr>
        <w:tc>
          <w:tcPr>
            <w:cnfStyle w:val="001000000000"/>
            <w:tcW w:w="1014" w:type="dxa"/>
            <w:vAlign w:val="center"/>
            <w:hideMark/>
          </w:tcPr>
          <w:p w:rsidR="00BB571A" w:rsidRPr="00ED6CAF" w:rsidRDefault="00BB571A" w:rsidP="0065301D">
            <w:pPr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Czech Republic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22,0</w:t>
            </w:r>
            <w:r w:rsidRPr="00ED6CAF">
              <w:rPr>
                <w:sz w:val="20"/>
                <w:szCs w:val="20"/>
                <w:lang w:val="en-GB"/>
              </w:rPr>
              <w:br/>
              <w:t>(21,1–23,0)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52,5</w:t>
            </w:r>
            <w:r w:rsidRPr="00ED6CAF">
              <w:rPr>
                <w:sz w:val="20"/>
                <w:szCs w:val="20"/>
                <w:lang w:val="en-GB"/>
              </w:rPr>
              <w:br/>
              <w:t>(51,8–53,2)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48,7</w:t>
            </w:r>
            <w:r w:rsidRPr="00ED6CAF">
              <w:rPr>
                <w:sz w:val="20"/>
                <w:szCs w:val="20"/>
                <w:lang w:val="en-GB"/>
              </w:rPr>
              <w:br/>
              <w:t>(47,9–49,6)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11,5</w:t>
            </w:r>
            <w:r w:rsidRPr="00ED6CAF">
              <w:rPr>
                <w:sz w:val="20"/>
                <w:szCs w:val="20"/>
                <w:lang w:val="en-GB"/>
              </w:rPr>
              <w:br/>
              <w:t>(11,0–11,9)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83,4</w:t>
            </w:r>
            <w:r w:rsidRPr="00ED6CAF">
              <w:rPr>
                <w:sz w:val="20"/>
                <w:szCs w:val="20"/>
                <w:lang w:val="en-GB"/>
              </w:rPr>
              <w:br/>
              <w:t>(82,4–84,3)</w:t>
            </w:r>
          </w:p>
        </w:tc>
        <w:tc>
          <w:tcPr>
            <w:tcW w:w="1422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78,0</w:t>
            </w:r>
            <w:r w:rsidRPr="00ED6CAF">
              <w:rPr>
                <w:sz w:val="20"/>
                <w:szCs w:val="20"/>
                <w:lang w:val="en-GB"/>
              </w:rPr>
              <w:br/>
              <w:t>(77,3–78,7)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36,3</w:t>
            </w:r>
            <w:r w:rsidRPr="00ED6CAF">
              <w:rPr>
                <w:sz w:val="20"/>
                <w:szCs w:val="20"/>
                <w:lang w:val="en-GB"/>
              </w:rPr>
              <w:br/>
              <w:t>(35,0–37,6)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78,2</w:t>
            </w:r>
            <w:r w:rsidRPr="00ED6CAF">
              <w:rPr>
                <w:sz w:val="20"/>
                <w:szCs w:val="20"/>
                <w:lang w:val="en-GB"/>
              </w:rPr>
              <w:br/>
              <w:t>(77,1–79,2)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59,9</w:t>
            </w:r>
            <w:r w:rsidRPr="00ED6CAF">
              <w:rPr>
                <w:sz w:val="20"/>
                <w:szCs w:val="20"/>
                <w:lang w:val="en-GB"/>
              </w:rPr>
              <w:br/>
              <w:t>(58,9–60,9)</w:t>
            </w:r>
          </w:p>
        </w:tc>
        <w:tc>
          <w:tcPr>
            <w:tcW w:w="1440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57,3</w:t>
            </w:r>
            <w:r w:rsidRPr="00ED6CAF">
              <w:rPr>
                <w:sz w:val="20"/>
                <w:szCs w:val="20"/>
                <w:lang w:val="en-GB"/>
              </w:rPr>
              <w:br/>
              <w:t>(56,0–58,5)</w:t>
            </w:r>
          </w:p>
        </w:tc>
      </w:tr>
      <w:tr w:rsidR="00BB571A" w:rsidRPr="00B00AA0" w:rsidTr="008F3F4A">
        <w:trPr>
          <w:trHeight w:val="680"/>
        </w:trPr>
        <w:tc>
          <w:tcPr>
            <w:cnfStyle w:val="001000000000"/>
            <w:tcW w:w="1014" w:type="dxa"/>
            <w:vAlign w:val="center"/>
            <w:hideMark/>
          </w:tcPr>
          <w:p w:rsidR="00BB571A" w:rsidRPr="00ED6CAF" w:rsidRDefault="00BB571A" w:rsidP="0065301D">
            <w:pPr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European mean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 xml:space="preserve">25,1 </w:t>
            </w:r>
            <w:r w:rsidRPr="00ED6CAF">
              <w:rPr>
                <w:sz w:val="20"/>
                <w:szCs w:val="20"/>
                <w:lang w:val="en-GB"/>
              </w:rPr>
              <w:br/>
              <w:t>(24,8–25,4)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57,0</w:t>
            </w:r>
            <w:r w:rsidRPr="00ED6CAF">
              <w:rPr>
                <w:sz w:val="20"/>
                <w:szCs w:val="20"/>
                <w:lang w:val="en-GB"/>
              </w:rPr>
              <w:br/>
              <w:t>(56,8–57,3)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55,8</w:t>
            </w:r>
            <w:r w:rsidRPr="00ED6CAF">
              <w:rPr>
                <w:sz w:val="20"/>
                <w:szCs w:val="20"/>
                <w:lang w:val="en-GB"/>
              </w:rPr>
              <w:br/>
              <w:t>(55,5–56,1)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13,0</w:t>
            </w:r>
            <w:r w:rsidRPr="00ED6CAF">
              <w:rPr>
                <w:sz w:val="20"/>
                <w:szCs w:val="20"/>
                <w:lang w:val="en-GB"/>
              </w:rPr>
              <w:br/>
              <w:t>(12,9–13,1)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83,2</w:t>
            </w:r>
            <w:r w:rsidRPr="00ED6CAF">
              <w:rPr>
                <w:sz w:val="20"/>
                <w:szCs w:val="20"/>
                <w:lang w:val="en-GB"/>
              </w:rPr>
              <w:br/>
              <w:t>(82,9–83,6)</w:t>
            </w:r>
          </w:p>
        </w:tc>
        <w:tc>
          <w:tcPr>
            <w:tcW w:w="1422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81,8</w:t>
            </w:r>
            <w:r w:rsidRPr="00ED6CAF">
              <w:rPr>
                <w:sz w:val="20"/>
                <w:szCs w:val="20"/>
                <w:lang w:val="en-GB"/>
              </w:rPr>
              <w:br/>
              <w:t>(81,6–82,0)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37,6</w:t>
            </w:r>
            <w:r w:rsidRPr="00ED6CAF">
              <w:rPr>
                <w:sz w:val="20"/>
                <w:szCs w:val="20"/>
                <w:lang w:val="en-GB"/>
              </w:rPr>
              <w:br/>
              <w:t>(37,1–38,0)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83,4</w:t>
            </w:r>
            <w:r w:rsidRPr="00ED6CAF">
              <w:rPr>
                <w:sz w:val="20"/>
                <w:szCs w:val="20"/>
                <w:lang w:val="en-GB"/>
              </w:rPr>
              <w:br/>
              <w:t>(83,1–83,6)</w:t>
            </w:r>
          </w:p>
        </w:tc>
        <w:tc>
          <w:tcPr>
            <w:tcW w:w="1247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60,6</w:t>
            </w:r>
            <w:r w:rsidRPr="00ED6CAF">
              <w:rPr>
                <w:sz w:val="20"/>
                <w:szCs w:val="20"/>
                <w:lang w:val="en-GB"/>
              </w:rPr>
              <w:br/>
              <w:t>(60,2–61,0)</w:t>
            </w:r>
          </w:p>
        </w:tc>
        <w:tc>
          <w:tcPr>
            <w:tcW w:w="1440" w:type="dxa"/>
            <w:vAlign w:val="center"/>
            <w:hideMark/>
          </w:tcPr>
          <w:p w:rsidR="00BB571A" w:rsidRPr="00ED6CAF" w:rsidRDefault="00BB571A" w:rsidP="0065301D">
            <w:pPr>
              <w:jc w:val="center"/>
              <w:cnfStyle w:val="0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59,4</w:t>
            </w:r>
            <w:r w:rsidRPr="00ED6CAF">
              <w:rPr>
                <w:sz w:val="20"/>
                <w:szCs w:val="20"/>
                <w:lang w:val="en-GB"/>
              </w:rPr>
              <w:br/>
              <w:t>(59,0–59,7)</w:t>
            </w:r>
          </w:p>
        </w:tc>
      </w:tr>
    </w:tbl>
    <w:p w:rsidR="000510AA" w:rsidRPr="00B30070" w:rsidRDefault="00B30070" w:rsidP="00B30070">
      <w:pPr>
        <w:rPr>
          <w:sz w:val="20"/>
          <w:lang w:val="en-GB"/>
        </w:rPr>
      </w:pPr>
      <w:r w:rsidRPr="00B30070">
        <w:rPr>
          <w:sz w:val="20"/>
          <w:lang w:val="en-GB"/>
        </w:rPr>
        <w:t>Data are % relative survival (95% CI). European mean data are population-weighted means of the country-specific relative survival estimates.</w:t>
      </w:r>
      <w:r w:rsidRPr="00B30070">
        <w:rPr>
          <w:sz w:val="20"/>
          <w:lang w:val="en-GB"/>
        </w:rPr>
        <w:br/>
        <w:t>* Countries with only part of national population covered by cancer registration.</w:t>
      </w:r>
    </w:p>
    <w:p w:rsidR="009D0D9F" w:rsidRDefault="009D0D9F">
      <w:pPr>
        <w:rPr>
          <w:lang w:val="en-GB"/>
        </w:rPr>
      </w:pPr>
      <w:r>
        <w:rPr>
          <w:lang w:val="en-GB"/>
        </w:rPr>
        <w:br w:type="page"/>
      </w:r>
    </w:p>
    <w:p w:rsidR="00BB571A" w:rsidRDefault="00BB571A" w:rsidP="00BB571A">
      <w:pPr>
        <w:rPr>
          <w:lang w:val="en-GB"/>
        </w:rPr>
      </w:pPr>
      <w:r>
        <w:rPr>
          <w:lang w:val="en-GB"/>
        </w:rPr>
        <w:lastRenderedPageBreak/>
        <w:t>EUROCARE 5</w:t>
      </w:r>
    </w:p>
    <w:p w:rsidR="009D0D9F" w:rsidRDefault="009D0D9F" w:rsidP="009D0D9F">
      <w:pPr>
        <w:rPr>
          <w:lang w:val="en-GB"/>
        </w:rPr>
      </w:pPr>
      <w:r w:rsidRPr="000510AA">
        <w:rPr>
          <w:lang w:val="en-GB"/>
        </w:rPr>
        <w:t>5-year age-standardised relative survival for adult patients with cancer, diagnosed 2000–07</w:t>
      </w:r>
      <w:r w:rsidR="0046605F">
        <w:rPr>
          <w:lang w:val="en-GB"/>
        </w:rPr>
        <w:t xml:space="preserve"> (de Angelis et al., The Lancet Oncology 2013)</w:t>
      </w:r>
    </w:p>
    <w:tbl>
      <w:tblPr>
        <w:tblStyle w:val="Svtlstnovn"/>
        <w:tblW w:w="13827" w:type="dxa"/>
        <w:tblLook w:val="06A0"/>
      </w:tblPr>
      <w:tblGrid>
        <w:gridCol w:w="988"/>
        <w:gridCol w:w="1247"/>
        <w:gridCol w:w="1247"/>
        <w:gridCol w:w="1247"/>
        <w:gridCol w:w="1247"/>
        <w:gridCol w:w="1247"/>
        <w:gridCol w:w="1421"/>
        <w:gridCol w:w="1247"/>
        <w:gridCol w:w="1247"/>
        <w:gridCol w:w="1247"/>
        <w:gridCol w:w="1442"/>
      </w:tblGrid>
      <w:tr w:rsidR="001B5DA0" w:rsidRPr="00B00AA0" w:rsidTr="006B6DF6">
        <w:trPr>
          <w:cnfStyle w:val="100000000000"/>
          <w:trHeight w:val="680"/>
        </w:trPr>
        <w:tc>
          <w:tcPr>
            <w:cnfStyle w:val="001000000000"/>
            <w:tcW w:w="988" w:type="dxa"/>
            <w:hideMark/>
          </w:tcPr>
          <w:p w:rsidR="009D0D9F" w:rsidRPr="00ED6CAF" w:rsidRDefault="009D0D9F" w:rsidP="000F19ED">
            <w:pPr>
              <w:spacing w:after="200"/>
              <w:rPr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Stomach cancer</w:t>
            </w:r>
          </w:p>
        </w:tc>
        <w:tc>
          <w:tcPr>
            <w:tcW w:w="1247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Colon</w:t>
            </w:r>
            <w:r w:rsidRPr="00ED6CAF">
              <w:rPr>
                <w:sz w:val="20"/>
                <w:szCs w:val="20"/>
                <w:lang w:val="en-GB"/>
              </w:rPr>
              <w:br/>
              <w:t>cancer</w:t>
            </w:r>
          </w:p>
        </w:tc>
        <w:tc>
          <w:tcPr>
            <w:tcW w:w="1247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Rectal cancer</w:t>
            </w:r>
          </w:p>
        </w:tc>
        <w:tc>
          <w:tcPr>
            <w:tcW w:w="1247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Lung</w:t>
            </w:r>
            <w:r w:rsidRPr="00ED6CAF">
              <w:rPr>
                <w:sz w:val="20"/>
                <w:szCs w:val="20"/>
                <w:lang w:val="en-GB"/>
              </w:rPr>
              <w:br/>
              <w:t>cancer</w:t>
            </w:r>
          </w:p>
        </w:tc>
        <w:tc>
          <w:tcPr>
            <w:tcW w:w="1247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Skin melanoma</w:t>
            </w:r>
          </w:p>
        </w:tc>
        <w:tc>
          <w:tcPr>
            <w:tcW w:w="1421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Breast cancer (women only)</w:t>
            </w:r>
          </w:p>
        </w:tc>
        <w:tc>
          <w:tcPr>
            <w:tcW w:w="1247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Ovarian cancer</w:t>
            </w:r>
          </w:p>
        </w:tc>
        <w:tc>
          <w:tcPr>
            <w:tcW w:w="1247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Prostate cancer</w:t>
            </w:r>
          </w:p>
        </w:tc>
        <w:tc>
          <w:tcPr>
            <w:tcW w:w="1247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Kidney cancer</w:t>
            </w:r>
          </w:p>
        </w:tc>
        <w:tc>
          <w:tcPr>
            <w:tcW w:w="1442" w:type="dxa"/>
            <w:vAlign w:val="center"/>
            <w:hideMark/>
          </w:tcPr>
          <w:p w:rsidR="009D0D9F" w:rsidRPr="00ED6CAF" w:rsidRDefault="009D0D9F" w:rsidP="006B6DF6">
            <w:pPr>
              <w:jc w:val="center"/>
              <w:cnfStyle w:val="100000000000"/>
              <w:rPr>
                <w:sz w:val="20"/>
                <w:szCs w:val="20"/>
                <w:lang w:val="en-GB"/>
              </w:rPr>
            </w:pPr>
            <w:r w:rsidRPr="00ED6CAF">
              <w:rPr>
                <w:sz w:val="20"/>
                <w:szCs w:val="20"/>
                <w:lang w:val="en-GB"/>
              </w:rPr>
              <w:t>Non-Hodgkin lymphoma</w:t>
            </w:r>
          </w:p>
        </w:tc>
      </w:tr>
      <w:tr w:rsidR="001B5DA0" w:rsidRPr="00B00AA0" w:rsidTr="006B6DF6">
        <w:trPr>
          <w:trHeight w:val="678"/>
        </w:trPr>
        <w:tc>
          <w:tcPr>
            <w:cnfStyle w:val="001000000000"/>
            <w:tcW w:w="988" w:type="dxa"/>
            <w:vAlign w:val="center"/>
            <w:hideMark/>
          </w:tcPr>
          <w:p w:rsidR="008F39E3" w:rsidRPr="009D0D9F" w:rsidRDefault="008F39E3" w:rsidP="006B6DF6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9D0D9F">
              <w:rPr>
                <w:rFonts w:ascii="Calibri" w:hAnsi="Calibri"/>
                <w:color w:val="000000"/>
                <w:sz w:val="20"/>
              </w:rPr>
              <w:t>Eastern</w:t>
            </w:r>
            <w:proofErr w:type="spellEnd"/>
            <w:r w:rsidRPr="009D0D9F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9D0D9F">
              <w:rPr>
                <w:rFonts w:ascii="Calibri" w:hAnsi="Calibri"/>
                <w:color w:val="000000"/>
                <w:sz w:val="20"/>
              </w:rPr>
              <w:t>Europe</w:t>
            </w:r>
            <w:proofErr w:type="spellEnd"/>
          </w:p>
        </w:tc>
        <w:tc>
          <w:tcPr>
            <w:tcW w:w="1247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18,8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(18,4–19,2)</w:t>
            </w:r>
          </w:p>
        </w:tc>
        <w:tc>
          <w:tcPr>
            <w:tcW w:w="1247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49,4</w:t>
            </w:r>
            <w:r w:rsidR="000F19ED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(48,9–49,8)</w:t>
            </w:r>
          </w:p>
        </w:tc>
        <w:tc>
          <w:tcPr>
            <w:tcW w:w="1247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44,6</w:t>
            </w:r>
            <w:r w:rsidR="000F19ED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(44,1–45,1)</w:t>
            </w:r>
          </w:p>
        </w:tc>
        <w:tc>
          <w:tcPr>
            <w:tcW w:w="1247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10,6</w:t>
            </w:r>
            <w:r w:rsidR="000F19ED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(10,4–10,9)</w:t>
            </w:r>
          </w:p>
        </w:tc>
        <w:tc>
          <w:tcPr>
            <w:tcW w:w="1247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74,3</w:t>
            </w:r>
            <w:r w:rsidR="000F19ED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(73,6–75,1)</w:t>
            </w:r>
          </w:p>
        </w:tc>
        <w:tc>
          <w:tcPr>
            <w:tcW w:w="1421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73,7</w:t>
            </w:r>
            <w:r w:rsidR="00E778C4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(73,2–74,1)</w:t>
            </w:r>
          </w:p>
        </w:tc>
        <w:tc>
          <w:tcPr>
            <w:tcW w:w="1247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34,4</w:t>
            </w:r>
            <w:r w:rsidR="00C02E6A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(33,7–35,1)</w:t>
            </w:r>
          </w:p>
        </w:tc>
        <w:tc>
          <w:tcPr>
            <w:tcW w:w="1247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72,0</w:t>
            </w:r>
            <w:r w:rsidR="00C02E6A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(71,3–72,6)</w:t>
            </w:r>
          </w:p>
        </w:tc>
        <w:tc>
          <w:tcPr>
            <w:tcW w:w="1247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57,5</w:t>
            </w:r>
            <w:r w:rsidR="008930B2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(56,8–58,2)</w:t>
            </w:r>
          </w:p>
        </w:tc>
        <w:tc>
          <w:tcPr>
            <w:tcW w:w="1442" w:type="dxa"/>
            <w:vAlign w:val="center"/>
            <w:hideMark/>
          </w:tcPr>
          <w:p w:rsidR="008F39E3" w:rsidRPr="008F39E3" w:rsidRDefault="008F39E3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49,7</w:t>
            </w:r>
            <w:r w:rsidR="002354AD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(48,9–50,5)</w:t>
            </w:r>
          </w:p>
        </w:tc>
      </w:tr>
      <w:tr w:rsidR="00BB571A" w:rsidRPr="008F39E3" w:rsidTr="0065301D">
        <w:trPr>
          <w:trHeight w:val="680"/>
        </w:trPr>
        <w:tc>
          <w:tcPr>
            <w:cnfStyle w:val="001000000000"/>
            <w:tcW w:w="988" w:type="dxa"/>
            <w:vAlign w:val="center"/>
            <w:hideMark/>
          </w:tcPr>
          <w:p w:rsidR="00BB571A" w:rsidRPr="009D0D9F" w:rsidRDefault="00BB571A" w:rsidP="0065301D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9D0D9F">
              <w:rPr>
                <w:rFonts w:ascii="Calibri" w:hAnsi="Calibri"/>
                <w:color w:val="000000"/>
                <w:sz w:val="20"/>
              </w:rPr>
              <w:t>Czech</w:t>
            </w:r>
            <w:proofErr w:type="spellEnd"/>
            <w:r w:rsidRPr="009D0D9F">
              <w:rPr>
                <w:rFonts w:ascii="Calibri" w:hAnsi="Calibri"/>
                <w:color w:val="000000"/>
                <w:sz w:val="20"/>
              </w:rPr>
              <w:t xml:space="preserve"> </w:t>
            </w:r>
            <w:proofErr w:type="spellStart"/>
            <w:r w:rsidRPr="009D0D9F">
              <w:rPr>
                <w:rFonts w:ascii="Calibri" w:hAnsi="Calibri"/>
                <w:color w:val="000000"/>
                <w:sz w:val="20"/>
              </w:rPr>
              <w:t>Republic</w:t>
            </w:r>
            <w:proofErr w:type="spellEnd"/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22,0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(21,1–23,0)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52,5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(51,8–53,2)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48,7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(47,9–49,6)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11,5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(11,0–11,9)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83,4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(82,4–84,3)</w:t>
            </w:r>
          </w:p>
        </w:tc>
        <w:tc>
          <w:tcPr>
            <w:tcW w:w="1421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78,0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(77,3–78,7)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36,3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(35,0–37,6)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78,2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(77,1–79,2)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59,9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(58,9–60,9)</w:t>
            </w:r>
          </w:p>
        </w:tc>
        <w:tc>
          <w:tcPr>
            <w:tcW w:w="1442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57,3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(56,0–58,5)</w:t>
            </w:r>
          </w:p>
        </w:tc>
      </w:tr>
      <w:tr w:rsidR="00BB571A" w:rsidRPr="00B00AA0" w:rsidTr="006B6DF6">
        <w:trPr>
          <w:trHeight w:val="680"/>
        </w:trPr>
        <w:tc>
          <w:tcPr>
            <w:cnfStyle w:val="001000000000"/>
            <w:tcW w:w="988" w:type="dxa"/>
            <w:vAlign w:val="center"/>
            <w:hideMark/>
          </w:tcPr>
          <w:p w:rsidR="00BB571A" w:rsidRPr="009D0D9F" w:rsidRDefault="00BB571A" w:rsidP="0065301D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9D0D9F">
              <w:rPr>
                <w:rFonts w:ascii="Calibri" w:hAnsi="Calibri"/>
                <w:color w:val="000000"/>
                <w:sz w:val="20"/>
              </w:rPr>
              <w:t>Estonia</w:t>
            </w:r>
            <w:proofErr w:type="spellEnd"/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22,8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(21,0–24,7)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51,7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(49,2–54,2)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47,9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(45,0–50,8)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11,7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(10,5–13,0)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71,7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(67,7–75,2)</w:t>
            </w:r>
          </w:p>
        </w:tc>
        <w:tc>
          <w:tcPr>
            <w:tcW w:w="1421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72,1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(69,8–74,3)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34,1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(30,8–37,5)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72,9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(69,7–75,8)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61,1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(57,6–64,4)</w:t>
            </w:r>
          </w:p>
        </w:tc>
        <w:tc>
          <w:tcPr>
            <w:tcW w:w="1442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51,6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(48,2–54,9)</w:t>
            </w:r>
          </w:p>
        </w:tc>
      </w:tr>
      <w:tr w:rsidR="00BB571A" w:rsidRPr="00B00AA0" w:rsidTr="006B6DF6">
        <w:trPr>
          <w:trHeight w:val="680"/>
        </w:trPr>
        <w:tc>
          <w:tcPr>
            <w:cnfStyle w:val="001000000000"/>
            <w:tcW w:w="988" w:type="dxa"/>
            <w:vAlign w:val="center"/>
            <w:hideMark/>
          </w:tcPr>
          <w:p w:rsidR="00BB571A" w:rsidRPr="009D0D9F" w:rsidRDefault="00BB571A" w:rsidP="0065301D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9D0D9F">
              <w:rPr>
                <w:rFonts w:ascii="Calibri" w:hAnsi="Calibri"/>
                <w:color w:val="000000"/>
                <w:sz w:val="20"/>
              </w:rPr>
              <w:t>Latvia</w:t>
            </w:r>
            <w:proofErr w:type="spellEnd"/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20,2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(18,7–21,7)</w:t>
            </w:r>
          </w:p>
        </w:tc>
        <w:tc>
          <w:tcPr>
            <w:tcW w:w="1247" w:type="dxa"/>
            <w:vAlign w:val="center"/>
            <w:hideMark/>
          </w:tcPr>
          <w:p w:rsidR="00BB571A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42,9</w:t>
            </w:r>
          </w:p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(40,8–45,0)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36,1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(33,7–38,4)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12,2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(11,2–13,2)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65,1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(61,3–68,6)</w:t>
            </w:r>
          </w:p>
        </w:tc>
        <w:tc>
          <w:tcPr>
            <w:tcW w:w="1421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69,3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(67,4–71,1)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33,7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(31,2–36,2)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65,7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(62,8–68,4)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59,3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(56,5–61,9)</w:t>
            </w:r>
          </w:p>
        </w:tc>
        <w:tc>
          <w:tcPr>
            <w:tcW w:w="1442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47,0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(43,5–50,4)</w:t>
            </w:r>
          </w:p>
        </w:tc>
      </w:tr>
      <w:tr w:rsidR="00BB571A" w:rsidRPr="00B00AA0" w:rsidTr="006B6DF6">
        <w:trPr>
          <w:trHeight w:val="680"/>
        </w:trPr>
        <w:tc>
          <w:tcPr>
            <w:cnfStyle w:val="001000000000"/>
            <w:tcW w:w="988" w:type="dxa"/>
            <w:vAlign w:val="center"/>
            <w:hideMark/>
          </w:tcPr>
          <w:p w:rsidR="00BB571A" w:rsidRPr="009D0D9F" w:rsidRDefault="00BB571A" w:rsidP="0065301D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9D0D9F">
              <w:rPr>
                <w:rFonts w:ascii="Calibri" w:hAnsi="Calibri"/>
                <w:color w:val="000000"/>
                <w:sz w:val="20"/>
              </w:rPr>
              <w:t>Lithuania</w:t>
            </w:r>
            <w:proofErr w:type="spellEnd"/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23,1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(21,9–24,4)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47,1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(45,3–48,9)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43,0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(41,1–44,9)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9,1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(8,4–9,9)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69,2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(66,1–72,1)</w:t>
            </w:r>
          </w:p>
        </w:tc>
        <w:tc>
          <w:tcPr>
            <w:tcW w:w="1421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66,7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(65,1–68,2)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31,7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(29,7–33,8)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82,8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(80,9–84,5)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59,4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(57,2–61,6)</w:t>
            </w:r>
          </w:p>
        </w:tc>
        <w:tc>
          <w:tcPr>
            <w:tcW w:w="1442" w:type="dxa"/>
            <w:vAlign w:val="center"/>
            <w:hideMark/>
          </w:tcPr>
          <w:p w:rsidR="00BB571A" w:rsidRPr="008F39E3" w:rsidRDefault="00BB571A" w:rsidP="0065301D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49,3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(47,0–51,6)</w:t>
            </w:r>
          </w:p>
        </w:tc>
      </w:tr>
      <w:tr w:rsidR="00BB571A" w:rsidRPr="00B00AA0" w:rsidTr="006B6DF6">
        <w:trPr>
          <w:trHeight w:val="680"/>
        </w:trPr>
        <w:tc>
          <w:tcPr>
            <w:cnfStyle w:val="001000000000"/>
            <w:tcW w:w="988" w:type="dxa"/>
            <w:vAlign w:val="center"/>
            <w:hideMark/>
          </w:tcPr>
          <w:p w:rsidR="00BB571A" w:rsidRPr="009D0D9F" w:rsidRDefault="00BB571A" w:rsidP="006B6DF6">
            <w:pPr>
              <w:rPr>
                <w:rFonts w:ascii="Calibri" w:hAnsi="Calibri"/>
                <w:color w:val="000000"/>
                <w:sz w:val="20"/>
              </w:rPr>
            </w:pPr>
            <w:proofErr w:type="spellStart"/>
            <w:r w:rsidRPr="009D0D9F">
              <w:rPr>
                <w:rFonts w:ascii="Calibri" w:hAnsi="Calibri"/>
                <w:color w:val="000000"/>
                <w:sz w:val="20"/>
              </w:rPr>
              <w:t>Poland</w:t>
            </w:r>
            <w:proofErr w:type="spellEnd"/>
            <w:r w:rsidRPr="009D0D9F">
              <w:rPr>
                <w:rFonts w:ascii="Calibri" w:hAnsi="Calibri"/>
                <w:color w:val="000000"/>
                <w:sz w:val="20"/>
              </w:rPr>
              <w:t>*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15,6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(14,4–16,7)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46,7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(45,3–48,1)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44,3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(42,6–45,9)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14,4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(13,8–15,0)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61,5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(58,9–64,0)</w:t>
            </w:r>
          </w:p>
        </w:tc>
        <w:tc>
          <w:tcPr>
            <w:tcW w:w="1421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71,6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(70,3–72,9)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34,5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(32,5–36,5)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66,6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(64,6–68,5)</w:t>
            </w:r>
          </w:p>
        </w:tc>
        <w:tc>
          <w:tcPr>
            <w:tcW w:w="1247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55,1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(53,0–57,1)</w:t>
            </w:r>
          </w:p>
        </w:tc>
        <w:tc>
          <w:tcPr>
            <w:tcW w:w="1442" w:type="dxa"/>
            <w:vAlign w:val="center"/>
            <w:hideMark/>
          </w:tcPr>
          <w:p w:rsidR="00BB571A" w:rsidRPr="008F39E3" w:rsidRDefault="00BB571A" w:rsidP="006B6DF6">
            <w:pPr>
              <w:jc w:val="center"/>
              <w:cnfStyle w:val="000000000000"/>
              <w:rPr>
                <w:rFonts w:cs="Times New Roman"/>
                <w:color w:val="000000"/>
                <w:sz w:val="20"/>
                <w:szCs w:val="20"/>
              </w:rPr>
            </w:pPr>
            <w:r w:rsidRPr="008F39E3">
              <w:rPr>
                <w:rFonts w:cs="Times New Roman"/>
                <w:color w:val="000000"/>
                <w:sz w:val="20"/>
                <w:szCs w:val="20"/>
              </w:rPr>
              <w:t>44,3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8F39E3">
              <w:rPr>
                <w:rFonts w:cs="Times New Roman"/>
                <w:color w:val="000000"/>
                <w:sz w:val="20"/>
                <w:szCs w:val="20"/>
              </w:rPr>
              <w:t>(42,2–46,3)</w:t>
            </w:r>
          </w:p>
        </w:tc>
      </w:tr>
    </w:tbl>
    <w:p w:rsidR="00B30070" w:rsidRPr="00B30070" w:rsidRDefault="00B30070" w:rsidP="00B30070">
      <w:pPr>
        <w:rPr>
          <w:sz w:val="20"/>
          <w:lang w:val="en-GB"/>
        </w:rPr>
      </w:pPr>
      <w:r w:rsidRPr="00B30070">
        <w:rPr>
          <w:sz w:val="20"/>
          <w:lang w:val="en-GB"/>
        </w:rPr>
        <w:t>Data are % relative survival (95% CI). European mean data are population-weighted means of the country-specific relative survival estimates.</w:t>
      </w:r>
      <w:r w:rsidRPr="00B30070">
        <w:rPr>
          <w:sz w:val="20"/>
          <w:lang w:val="en-GB"/>
        </w:rPr>
        <w:br/>
        <w:t>* Countries with only part of national population covered by cancer registration.</w:t>
      </w:r>
    </w:p>
    <w:p w:rsidR="005450A3" w:rsidRDefault="005450A3">
      <w:pPr>
        <w:rPr>
          <w:lang w:val="en-GB"/>
        </w:rPr>
      </w:pPr>
      <w:r>
        <w:rPr>
          <w:lang w:val="en-GB"/>
        </w:rPr>
        <w:br w:type="page"/>
      </w:r>
    </w:p>
    <w:p w:rsidR="005450A3" w:rsidRDefault="005450A3">
      <w:pPr>
        <w:rPr>
          <w:lang w:val="en-GB"/>
        </w:rPr>
        <w:sectPr w:rsidR="005450A3" w:rsidSect="00983E3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E4023" w:rsidRDefault="005450A3" w:rsidP="00BE4023">
      <w:pPr>
        <w:rPr>
          <w:lang w:val="en-GB"/>
        </w:rPr>
      </w:pPr>
      <w:r w:rsidRPr="005450A3">
        <w:rPr>
          <w:lang w:val="en-GB"/>
        </w:rPr>
        <w:lastRenderedPageBreak/>
        <w:t>Comparison of age-standardised 5</w:t>
      </w:r>
      <w:r>
        <w:rPr>
          <w:lang w:val="en-GB"/>
        </w:rPr>
        <w:t>-</w:t>
      </w:r>
      <w:r w:rsidRPr="005450A3">
        <w:rPr>
          <w:lang w:val="en-GB"/>
        </w:rPr>
        <w:t>year relative survival rates in Czech cancer patients</w:t>
      </w:r>
      <w:r w:rsidR="004026DE">
        <w:rPr>
          <w:lang w:val="en-GB"/>
        </w:rPr>
        <w:t xml:space="preserve"> </w:t>
      </w:r>
      <w:r w:rsidR="004026DE" w:rsidRPr="005450A3">
        <w:rPr>
          <w:lang w:val="en-GB"/>
        </w:rPr>
        <w:t>(</w:t>
      </w:r>
      <w:r w:rsidR="004026DE" w:rsidRPr="00BB571A">
        <w:rPr>
          <w:b/>
          <w:lang w:val="en-GB"/>
        </w:rPr>
        <w:t>period 2005–2008; Cancer Epidemiology 2013</w:t>
      </w:r>
      <w:r w:rsidR="004026DE">
        <w:rPr>
          <w:lang w:val="en-GB"/>
        </w:rPr>
        <w:t>)</w:t>
      </w:r>
      <w:r w:rsidRPr="005450A3">
        <w:rPr>
          <w:lang w:val="en-GB"/>
        </w:rPr>
        <w:t xml:space="preserve"> </w:t>
      </w:r>
      <w:r w:rsidR="004026DE">
        <w:rPr>
          <w:lang w:val="en-GB"/>
        </w:rPr>
        <w:t xml:space="preserve">with the </w:t>
      </w:r>
      <w:r w:rsidRPr="005450A3">
        <w:rPr>
          <w:lang w:val="en-GB"/>
        </w:rPr>
        <w:t>EUROCARE-5</w:t>
      </w:r>
      <w:r>
        <w:rPr>
          <w:lang w:val="en-GB"/>
        </w:rPr>
        <w:t xml:space="preserve"> </w:t>
      </w:r>
      <w:r w:rsidR="00944F62">
        <w:rPr>
          <w:lang w:val="en-GB"/>
        </w:rPr>
        <w:t>stud</w:t>
      </w:r>
      <w:bookmarkStart w:id="0" w:name="_GoBack"/>
      <w:bookmarkEnd w:id="0"/>
      <w:r w:rsidR="00944F62">
        <w:rPr>
          <w:lang w:val="en-GB"/>
        </w:rPr>
        <w:t xml:space="preserve">y </w:t>
      </w:r>
      <w:r w:rsidR="004026DE">
        <w:rPr>
          <w:lang w:val="en-GB"/>
        </w:rPr>
        <w:t>(</w:t>
      </w:r>
      <w:r w:rsidRPr="00BB571A">
        <w:rPr>
          <w:b/>
          <w:lang w:val="en-GB"/>
        </w:rPr>
        <w:t>period 2000</w:t>
      </w:r>
      <w:r w:rsidR="004026DE" w:rsidRPr="00BB571A">
        <w:rPr>
          <w:b/>
          <w:lang w:val="en-GB"/>
        </w:rPr>
        <w:t>–</w:t>
      </w:r>
      <w:r w:rsidRPr="00BB571A">
        <w:rPr>
          <w:b/>
          <w:lang w:val="en-GB"/>
        </w:rPr>
        <w:t>2007</w:t>
      </w:r>
      <w:r w:rsidR="004026DE" w:rsidRPr="00BB571A">
        <w:rPr>
          <w:b/>
          <w:lang w:val="en-GB"/>
        </w:rPr>
        <w:t xml:space="preserve">; </w:t>
      </w:r>
      <w:r w:rsidR="00BE4023" w:rsidRPr="00BB571A">
        <w:rPr>
          <w:b/>
          <w:lang w:val="en-GB"/>
        </w:rPr>
        <w:t>The Lancet Oncology 2013</w:t>
      </w:r>
      <w:r w:rsidR="00BE4023">
        <w:rPr>
          <w:lang w:val="en-GB"/>
        </w:rPr>
        <w:t>)</w:t>
      </w:r>
    </w:p>
    <w:tbl>
      <w:tblPr>
        <w:tblW w:w="8736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72"/>
        <w:gridCol w:w="1616"/>
        <w:gridCol w:w="1616"/>
        <w:gridCol w:w="1616"/>
        <w:gridCol w:w="1616"/>
      </w:tblGrid>
      <w:tr w:rsidR="004026DE" w:rsidRPr="00BE4023" w:rsidTr="004026DE">
        <w:trPr>
          <w:trHeight w:val="680"/>
        </w:trPr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EE33F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B571A" w:rsidP="004026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EUROCARE-5</w:t>
            </w:r>
          </w:p>
          <w:p w:rsidR="00BE4023" w:rsidRPr="004026DE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Study period: 2000-2007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B571A" w:rsidP="004026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Czech Republic</w:t>
            </w:r>
          </w:p>
          <w:p w:rsidR="00BE4023" w:rsidRPr="004026DE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Study period: 2005-2008</w:t>
            </w:r>
          </w:p>
        </w:tc>
      </w:tr>
      <w:tr w:rsidR="004026DE" w:rsidRPr="00BE4023" w:rsidTr="004026DE">
        <w:trPr>
          <w:trHeight w:val="680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EE33F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5-year relative survival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95% confidence interval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5-year relative survival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95% confidence interval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Stomach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22.0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(21.1-23.0)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22.5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(20.0-25.0)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Colon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52.5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(51.8-53.2)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53.1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(51.5-54.7)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Rectum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48.7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(47.9-49.6)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*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*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Lung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11.5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(11.0-11.9)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11.1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(9.9-12.3)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Skin melanoma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83.4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(82.4-84.3)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84.7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(82.2-87.2)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Breast (women)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78.0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(77.3-78.7)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79.8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(78.2-81.4)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Ovary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36.3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(35.0-37.6)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38.4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(35.3-41.5)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Prostate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78.2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(77.1-79.2)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82.2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(78.5-85.9)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Kidney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59.9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(58.9-60.9)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62.7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(60.2-65.2)</w:t>
            </w:r>
          </w:p>
        </w:tc>
      </w:tr>
      <w:tr w:rsidR="004026DE" w:rsidRPr="00BE4023" w:rsidTr="004026DE">
        <w:trPr>
          <w:trHeight w:val="340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4026DE" w:rsidRDefault="00BE4023" w:rsidP="004026D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</w:pPr>
            <w:r w:rsidRPr="004026D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cs-CZ"/>
              </w:rPr>
              <w:t>Non-Hodgkin lymphoma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57.3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(56.0-58.5)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**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023" w:rsidRPr="00BE4023" w:rsidRDefault="00BE4023" w:rsidP="004026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</w:pPr>
            <w:r w:rsidRPr="00BE4023">
              <w:rPr>
                <w:rFonts w:eastAsia="Times New Roman" w:cs="Times New Roman"/>
                <w:color w:val="000000"/>
                <w:sz w:val="20"/>
                <w:szCs w:val="20"/>
                <w:lang w:val="en-GB" w:eastAsia="cs-CZ"/>
              </w:rPr>
              <w:t>**</w:t>
            </w:r>
          </w:p>
        </w:tc>
      </w:tr>
    </w:tbl>
    <w:p w:rsidR="00BE4023" w:rsidRPr="004026DE" w:rsidRDefault="004026DE" w:rsidP="004026DE">
      <w:pPr>
        <w:rPr>
          <w:sz w:val="20"/>
          <w:lang w:val="en-GB"/>
        </w:rPr>
      </w:pPr>
      <w:r w:rsidRPr="004026DE">
        <w:rPr>
          <w:sz w:val="20"/>
          <w:lang w:val="en-GB"/>
        </w:rPr>
        <w:t>* In the IBA MU study, colon and rectum were evaluated together.</w:t>
      </w:r>
      <w:r>
        <w:rPr>
          <w:sz w:val="20"/>
          <w:lang w:val="en-GB"/>
        </w:rPr>
        <w:br/>
      </w:r>
      <w:r w:rsidRPr="004026DE">
        <w:rPr>
          <w:sz w:val="20"/>
          <w:lang w:val="en-GB"/>
        </w:rPr>
        <w:t>** In the IBA MU study, hemato</w:t>
      </w:r>
      <w:r w:rsidR="00BB571A">
        <w:rPr>
          <w:sz w:val="20"/>
          <w:lang w:val="en-GB"/>
        </w:rPr>
        <w:t xml:space="preserve">logic malignancies </w:t>
      </w:r>
      <w:r w:rsidRPr="004026DE">
        <w:rPr>
          <w:sz w:val="20"/>
          <w:lang w:val="en-GB"/>
        </w:rPr>
        <w:t>- were not considered.</w:t>
      </w:r>
    </w:p>
    <w:p w:rsidR="00BE4023" w:rsidRDefault="00BE4023" w:rsidP="00BE4023">
      <w:pPr>
        <w:rPr>
          <w:lang w:val="en-GB"/>
        </w:rPr>
      </w:pPr>
    </w:p>
    <w:p w:rsidR="000510AA" w:rsidRPr="00B00AA0" w:rsidRDefault="00BE4023" w:rsidP="00BE4023">
      <w:pPr>
        <w:rPr>
          <w:lang w:val="en-GB"/>
        </w:rPr>
      </w:pPr>
      <w:r w:rsidRPr="00B00AA0">
        <w:rPr>
          <w:lang w:val="en-GB"/>
        </w:rPr>
        <w:t xml:space="preserve"> </w:t>
      </w:r>
    </w:p>
    <w:sectPr w:rsidR="000510AA" w:rsidRPr="00B00AA0" w:rsidSect="00545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25CD9"/>
    <w:rsid w:val="000510AA"/>
    <w:rsid w:val="000F19ED"/>
    <w:rsid w:val="00123416"/>
    <w:rsid w:val="001B5DA0"/>
    <w:rsid w:val="002354AD"/>
    <w:rsid w:val="002E71AA"/>
    <w:rsid w:val="003E61E7"/>
    <w:rsid w:val="004026DE"/>
    <w:rsid w:val="0046605F"/>
    <w:rsid w:val="0051160D"/>
    <w:rsid w:val="005450A3"/>
    <w:rsid w:val="005B4783"/>
    <w:rsid w:val="006B6DF6"/>
    <w:rsid w:val="008930B2"/>
    <w:rsid w:val="008F39E3"/>
    <w:rsid w:val="008F3F4A"/>
    <w:rsid w:val="00944F62"/>
    <w:rsid w:val="00974B5B"/>
    <w:rsid w:val="00983E34"/>
    <w:rsid w:val="009D0D9F"/>
    <w:rsid w:val="00AA3DC0"/>
    <w:rsid w:val="00B00AA0"/>
    <w:rsid w:val="00B30070"/>
    <w:rsid w:val="00BB571A"/>
    <w:rsid w:val="00BE4023"/>
    <w:rsid w:val="00C02E6A"/>
    <w:rsid w:val="00C25CD9"/>
    <w:rsid w:val="00CD0A84"/>
    <w:rsid w:val="00E778C4"/>
    <w:rsid w:val="00ED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4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tnovn">
    <w:name w:val="Light Shading"/>
    <w:basedOn w:val="Normlntabulka"/>
    <w:uiPriority w:val="60"/>
    <w:rsid w:val="00983E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1B5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30070"/>
    <w:pPr>
      <w:ind w:left="720"/>
      <w:contextualSpacing/>
    </w:pPr>
  </w:style>
  <w:style w:type="table" w:styleId="Svtlseznam">
    <w:name w:val="Light List"/>
    <w:basedOn w:val="Normlntabulka"/>
    <w:uiPriority w:val="61"/>
    <w:rsid w:val="00BE40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tnovn">
    <w:name w:val="Light Shading"/>
    <w:basedOn w:val="Normlntabulka"/>
    <w:uiPriority w:val="60"/>
    <w:rsid w:val="00983E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1B5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30070"/>
    <w:pPr>
      <w:ind w:left="720"/>
      <w:contextualSpacing/>
    </w:pPr>
  </w:style>
  <w:style w:type="table" w:styleId="Svtlseznam">
    <w:name w:val="Light List"/>
    <w:basedOn w:val="Normlntabulka"/>
    <w:uiPriority w:val="61"/>
    <w:rsid w:val="00BE40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dusek</cp:lastModifiedBy>
  <cp:revision>27</cp:revision>
  <dcterms:created xsi:type="dcterms:W3CDTF">2013-12-18T08:11:00Z</dcterms:created>
  <dcterms:modified xsi:type="dcterms:W3CDTF">2013-12-20T07:38:00Z</dcterms:modified>
</cp:coreProperties>
</file>